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rebuchet MS" w:cs="Trebuchet MS" w:eastAsia="Trebuchet MS" w:hAnsi="Trebuchet MS"/>
          <w:b w:val="1"/>
          <w:sz w:val="40"/>
          <w:szCs w:val="40"/>
          <w:vertAlign w:val="baseline"/>
          <w:rtl w:val="0"/>
        </w:rPr>
        <w:t xml:space="preserve">WEBINAR STUDY QUESTION FORM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vertAlign w:val="baseline"/>
          <w:rtl w:val="0"/>
        </w:rPr>
        <w:t xml:space="preserve">WEBINAR – </w:t>
      </w:r>
      <w:r w:rsidDel="00000000" w:rsidR="00000000" w:rsidRPr="00000000">
        <w:rPr>
          <w:rFonts w:ascii="Trebuchet MS" w:cs="Trebuchet MS" w:eastAsia="Trebuchet MS" w:hAnsi="Trebuchet MS"/>
          <w:sz w:val="32"/>
          <w:szCs w:val="32"/>
          <w:u w:val="single"/>
          <w:vertAlign w:val="baseline"/>
          <w:rtl w:val="0"/>
        </w:rPr>
        <w:t xml:space="preserve">Assessments and Curriculum Guides for Secondary Students with ASD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32"/>
          <w:szCs w:val="32"/>
          <w:highlight w:val="yellow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32"/>
          <w:szCs w:val="32"/>
          <w:highlight w:val="yellow"/>
          <w:vertAlign w:val="baseline"/>
          <w:rtl w:val="0"/>
        </w:rPr>
        <w:t xml:space="preserve">(HELD ON February 24 , 2016), 45 Minutes long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vertAlign w:val="baseline"/>
          <w:rtl w:val="0"/>
        </w:rPr>
        <w:t xml:space="preserve">Please answer the study question(s) below and submit to Amanda Timmerman (</w:t>
      </w:r>
      <w:hyperlink r:id="rId5">
        <w:r w:rsidDel="00000000" w:rsidR="00000000" w:rsidRPr="00000000">
          <w:rPr>
            <w:rFonts w:ascii="Trebuchet MS" w:cs="Trebuchet MS" w:eastAsia="Trebuchet MS" w:hAnsi="Trebuchet MS"/>
            <w:b w:val="1"/>
            <w:color w:val="0000ff"/>
            <w:sz w:val="32"/>
            <w:szCs w:val="32"/>
            <w:u w:val="single"/>
            <w:vertAlign w:val="baseline"/>
            <w:rtl w:val="0"/>
          </w:rPr>
          <w:t xml:space="preserve">Timmerman_A@cde.state.co.us</w:t>
        </w:r>
      </w:hyperlink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vertAlign w:val="baseline"/>
          <w:rtl w:val="0"/>
        </w:rPr>
        <w:t xml:space="preserve">) with the following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1. Name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2. Email 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3. School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4. Role (Teacher, para, SLP,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vertAlign w:val="baseline"/>
          <w:rtl w:val="0"/>
        </w:rPr>
        <w:t xml:space="preserve">STUDY QUESTION(S):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</w:tabs>
        <w:spacing w:after="0" w:before="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1).  What are functional skills, and why is it important to teach functional skills to students with ASD?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</w:tabs>
        <w:spacing w:after="0" w:before="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</w:tabs>
        <w:spacing w:after="0" w:before="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2). List three essential functional skills identified in the AFLS, TTAP or Essential for Living.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</w:tabs>
        <w:spacing w:after="0" w:before="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</w:tabs>
        <w:spacing w:after="0" w:before="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3).  List three priorities of instruction in transition programming.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</w:tabs>
        <w:spacing w:after="0" w:before="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</w:tabs>
        <w:spacing w:after="0" w:before="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4.)  List five specific skills to teach in the areas of communication and social skills.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</w:tabs>
        <w:spacing w:after="0" w:before="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</w:tabs>
        <w:spacing w:after="100" w:before="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5.)  Why is it important to use ASD specific social skills assessments?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Trebuchet MS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1440" w:line="240" w:lineRule="auto"/>
      <w:contextualSpacing w:val="0"/>
      <w:jc w:val="center"/>
    </w:pPr>
    <w:r w:rsidDel="00000000" w:rsidR="00000000" w:rsidRPr="00000000">
      <w:drawing>
        <wp:inline distB="0" distT="0" distL="114300" distR="114300">
          <wp:extent cx="1645920" cy="164592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5920" cy="16459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righ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jc w:val="both"/>
    </w:pPr>
    <w:rPr>
      <w:rFonts w:ascii="Times New Roman" w:cs="Times New Roman" w:eastAsia="Times New Roman" w:hAnsi="Times New Roman"/>
      <w:b w:val="0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  <w:jc w:val="both"/>
    </w:pPr>
    <w:rPr>
      <w:rFonts w:ascii="Times New Roman" w:cs="Times New Roman" w:eastAsia="Times New Roman" w:hAnsi="Times New Roman"/>
      <w:b w:val="1"/>
      <w:sz w:val="24"/>
      <w:szCs w:val="24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Timmerman_A@cde.state.co.us" TargetMode="Externa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